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A4C131F" wp14:editId="33865F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1E1938" w:rsidRPr="001E1938" w:rsidRDefault="001E1938" w:rsidP="001E1938">
      <w:pPr>
        <w:spacing w:after="0" w:line="240" w:lineRule="auto"/>
        <w:jc w:val="center"/>
        <w:rPr>
          <w:rFonts w:ascii="Times New Roman" w:eastAsia="Times New Roman" w:hAnsi="Times New Roman" w:cs="Times New Roman"/>
          <w:b/>
          <w:sz w:val="28"/>
          <w:szCs w:val="28"/>
          <w:lang w:eastAsia="ru-RU"/>
        </w:rPr>
      </w:pPr>
      <w:bookmarkStart w:id="1" w:name="_GoBack"/>
      <w:r w:rsidRPr="001E1938">
        <w:rPr>
          <w:rFonts w:ascii="Times New Roman" w:eastAsia="Times New Roman" w:hAnsi="Times New Roman" w:cs="Times New Roman"/>
          <w:b/>
          <w:sz w:val="28"/>
          <w:szCs w:val="28"/>
          <w:lang w:eastAsia="ru-RU"/>
        </w:rPr>
        <w:t xml:space="preserve">Особливості </w:t>
      </w:r>
      <w:r w:rsidRPr="001E1938">
        <w:rPr>
          <w:rFonts w:ascii="Times New Roman" w:eastAsia="Times New Roman" w:hAnsi="Times New Roman" w:cs="Times New Roman"/>
          <w:b/>
          <w:sz w:val="28"/>
          <w:szCs w:val="28"/>
          <w:lang w:eastAsia="ru-RU"/>
        </w:rPr>
        <w:t xml:space="preserve"> сплати земельн</w:t>
      </w:r>
      <w:r w:rsidRPr="001E1938">
        <w:rPr>
          <w:rFonts w:ascii="Times New Roman" w:eastAsia="Times New Roman" w:hAnsi="Times New Roman" w:cs="Times New Roman"/>
          <w:b/>
          <w:sz w:val="28"/>
          <w:szCs w:val="28"/>
          <w:lang w:eastAsia="ru-RU"/>
        </w:rPr>
        <w:t>ого</w:t>
      </w:r>
      <w:r w:rsidRPr="001E1938">
        <w:rPr>
          <w:rFonts w:ascii="Times New Roman" w:eastAsia="Times New Roman" w:hAnsi="Times New Roman" w:cs="Times New Roman"/>
          <w:b/>
          <w:sz w:val="28"/>
          <w:szCs w:val="28"/>
          <w:lang w:eastAsia="ru-RU"/>
        </w:rPr>
        <w:t xml:space="preserve"> податк</w:t>
      </w:r>
      <w:r w:rsidRPr="001E1938">
        <w:rPr>
          <w:rFonts w:ascii="Times New Roman" w:eastAsia="Times New Roman" w:hAnsi="Times New Roman" w:cs="Times New Roman"/>
          <w:b/>
          <w:sz w:val="28"/>
          <w:szCs w:val="28"/>
          <w:lang w:eastAsia="ru-RU"/>
        </w:rPr>
        <w:t>у</w:t>
      </w:r>
      <w:r w:rsidRPr="001E1938">
        <w:rPr>
          <w:rFonts w:ascii="Times New Roman" w:eastAsia="Times New Roman" w:hAnsi="Times New Roman" w:cs="Times New Roman"/>
          <w:b/>
          <w:sz w:val="28"/>
          <w:szCs w:val="28"/>
          <w:lang w:eastAsia="ru-RU"/>
        </w:rPr>
        <w:t xml:space="preserve"> юридичн</w:t>
      </w:r>
      <w:r w:rsidRPr="001E1938">
        <w:rPr>
          <w:rFonts w:ascii="Times New Roman" w:eastAsia="Times New Roman" w:hAnsi="Times New Roman" w:cs="Times New Roman"/>
          <w:b/>
          <w:sz w:val="28"/>
          <w:szCs w:val="28"/>
          <w:lang w:eastAsia="ru-RU"/>
        </w:rPr>
        <w:t>ою</w:t>
      </w:r>
      <w:r w:rsidRPr="001E1938">
        <w:rPr>
          <w:rFonts w:ascii="Times New Roman" w:eastAsia="Times New Roman" w:hAnsi="Times New Roman" w:cs="Times New Roman"/>
          <w:b/>
          <w:sz w:val="28"/>
          <w:szCs w:val="28"/>
          <w:lang w:eastAsia="ru-RU"/>
        </w:rPr>
        <w:t xml:space="preserve"> особ</w:t>
      </w:r>
      <w:r w:rsidRPr="001E1938">
        <w:rPr>
          <w:rFonts w:ascii="Times New Roman" w:eastAsia="Times New Roman" w:hAnsi="Times New Roman" w:cs="Times New Roman"/>
          <w:b/>
          <w:sz w:val="28"/>
          <w:szCs w:val="28"/>
          <w:lang w:eastAsia="ru-RU"/>
        </w:rPr>
        <w:t>ою</w:t>
      </w:r>
      <w:r w:rsidRPr="001E1938">
        <w:rPr>
          <w:rFonts w:ascii="Times New Roman" w:eastAsia="Times New Roman" w:hAnsi="Times New Roman" w:cs="Times New Roman"/>
          <w:b/>
          <w:sz w:val="28"/>
          <w:szCs w:val="28"/>
          <w:lang w:eastAsia="ru-RU"/>
        </w:rPr>
        <w:t xml:space="preserve"> – платник</w:t>
      </w:r>
      <w:r>
        <w:rPr>
          <w:rFonts w:ascii="Times New Roman" w:eastAsia="Times New Roman" w:hAnsi="Times New Roman" w:cs="Times New Roman"/>
          <w:b/>
          <w:sz w:val="28"/>
          <w:szCs w:val="28"/>
          <w:lang w:eastAsia="ru-RU"/>
        </w:rPr>
        <w:t>ом</w:t>
      </w:r>
      <w:r w:rsidRPr="001E1938">
        <w:rPr>
          <w:rFonts w:ascii="Times New Roman" w:eastAsia="Times New Roman" w:hAnsi="Times New Roman" w:cs="Times New Roman"/>
          <w:b/>
          <w:sz w:val="28"/>
          <w:szCs w:val="28"/>
          <w:lang w:eastAsia="ru-RU"/>
        </w:rPr>
        <w:t xml:space="preserve"> ЄП третьої групи</w:t>
      </w:r>
    </w:p>
    <w:p w:rsidR="001E1938" w:rsidRPr="001E1938" w:rsidRDefault="001E1938" w:rsidP="001E1938">
      <w:pPr>
        <w:spacing w:after="0" w:line="240" w:lineRule="auto"/>
        <w:jc w:val="both"/>
        <w:rPr>
          <w:rFonts w:ascii="Times New Roman" w:eastAsia="Times New Roman" w:hAnsi="Times New Roman" w:cs="Times New Roman"/>
          <w:i/>
          <w:sz w:val="28"/>
          <w:szCs w:val="28"/>
          <w:u w:val="single"/>
          <w:lang w:val="ru-RU" w:eastAsia="ru-RU"/>
        </w:rPr>
      </w:pPr>
    </w:p>
    <w:p w:rsidR="00297C82" w:rsidRPr="001E1938" w:rsidRDefault="00297C82" w:rsidP="001E1938">
      <w:pPr>
        <w:spacing w:after="0" w:line="240" w:lineRule="auto"/>
        <w:jc w:val="both"/>
        <w:rPr>
          <w:rFonts w:ascii="Times New Roman" w:eastAsia="Times New Roman" w:hAnsi="Times New Roman" w:cs="Times New Roman"/>
          <w:i/>
          <w:sz w:val="28"/>
          <w:szCs w:val="28"/>
          <w:u w:val="single"/>
          <w:lang w:eastAsia="ru-RU"/>
        </w:rPr>
      </w:pPr>
      <w:r w:rsidRPr="001E1938">
        <w:rPr>
          <w:rFonts w:ascii="Times New Roman" w:eastAsia="Times New Roman" w:hAnsi="Times New Roman" w:cs="Times New Roman"/>
          <w:i/>
          <w:sz w:val="28"/>
          <w:szCs w:val="28"/>
          <w:u w:val="single"/>
          <w:lang w:eastAsia="ru-RU"/>
        </w:rPr>
        <w:t>Чи повинна юридична особа – платник ЄП третьої групи – власник земельних ділянок (землекористувач на правах постійного користування земельними ділянками) у разі тимчасового припинення господарської діяльності сплачувати земельний податок?</w:t>
      </w:r>
    </w:p>
    <w:p w:rsidR="00297C82" w:rsidRPr="001E1938" w:rsidRDefault="00297C82" w:rsidP="00297C82">
      <w:pPr>
        <w:spacing w:after="0" w:line="240" w:lineRule="auto"/>
        <w:rPr>
          <w:rFonts w:ascii="Times New Roman" w:eastAsia="Times New Roman" w:hAnsi="Times New Roman" w:cs="Times New Roman"/>
          <w:sz w:val="28"/>
          <w:szCs w:val="28"/>
          <w:lang w:eastAsia="ru-RU"/>
        </w:rPr>
      </w:pP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Згідно з п. 269.1 ст. 269 Податкового кодексу України від 02 грудня 2010 року № 2755-VІ зі змінами та доповненнями (далі – ПКУ) платниками земельного податку є: власники земельних ділянок, земельних часток (паїв); землекористувачі, яким відповідно до закону надані у користування земельні ділянки державної та комунальної власності на правах постійного користування; платники орендної плати – землекористувачі (орендарі) земельних ділянок державної та комунальної власності на умовах оренди.</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Об’єктами оподаткування земельним податком є: земельні ділянки, які перебувають у власності; земельні частки (паї), які перебувають у власності; земельні ділянки державної та комунальної власності, які перебувають у володінні на праві постійного користування         (п. 270.1 ст. 270 ПКУ).</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Відповідно до абзацу першого п. 49.2 ст. 49 ПКУ платник податків зобов’язаний за кожний встановлений ПКУ звітний період, в якому виникають об’єкти оподаткування, або у разі наявності показників, які підлягають декларуванню, відповідно до вимог ПКУ подавати податкові декларації щодо кожного окремого податку, платником якого він є. Абзац перший п. 49.2 ст. 49 ПКУ застосовується до всіх платників податків, в тому числі платників, які перебувають на спрощеній системі оподаткування обліку та звітності.</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 xml:space="preserve">Особливості справляння податку суб’єктами господарювання, які застосовують спрощену систему оподаткування, обліку та звітності, встановлюються главою 1 </w:t>
      </w:r>
      <w:proofErr w:type="spellStart"/>
      <w:r w:rsidRPr="001E1938">
        <w:rPr>
          <w:rFonts w:ascii="Times New Roman" w:eastAsia="Times New Roman" w:hAnsi="Times New Roman" w:cs="Times New Roman"/>
          <w:sz w:val="28"/>
          <w:szCs w:val="28"/>
          <w:lang w:eastAsia="ru-RU"/>
        </w:rPr>
        <w:t>розд</w:t>
      </w:r>
      <w:proofErr w:type="spellEnd"/>
      <w:r w:rsidRPr="001E1938">
        <w:rPr>
          <w:rFonts w:ascii="Times New Roman" w:eastAsia="Times New Roman" w:hAnsi="Times New Roman" w:cs="Times New Roman"/>
          <w:sz w:val="28"/>
          <w:szCs w:val="28"/>
          <w:lang w:eastAsia="ru-RU"/>
        </w:rPr>
        <w:t>. XIV ПКУ (п. 269.2 ст. 269 ПКУ).</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Зокрема, платники єдиного податку звільняються від обов’язку нарахування, сплати та подання податкової звітності з податку на майно в частині земельного податку за земельні ділянки, що використовуються, зокрема, платниками єдиного податку третьої групи для провадження господарської діяльності (крім діяльності з надання земельних ділянок та/або нерухомого майна, що знаходиться на таких земельних ділянках, в оренду (</w:t>
      </w:r>
      <w:proofErr w:type="spellStart"/>
      <w:r w:rsidRPr="001E1938">
        <w:rPr>
          <w:rFonts w:ascii="Times New Roman" w:eastAsia="Times New Roman" w:hAnsi="Times New Roman" w:cs="Times New Roman"/>
          <w:sz w:val="28"/>
          <w:szCs w:val="28"/>
          <w:lang w:eastAsia="ru-RU"/>
        </w:rPr>
        <w:t>найм</w:t>
      </w:r>
      <w:proofErr w:type="spellEnd"/>
      <w:r w:rsidRPr="001E1938">
        <w:rPr>
          <w:rFonts w:ascii="Times New Roman" w:eastAsia="Times New Roman" w:hAnsi="Times New Roman" w:cs="Times New Roman"/>
          <w:sz w:val="28"/>
          <w:szCs w:val="28"/>
          <w:lang w:eastAsia="ru-RU"/>
        </w:rPr>
        <w:t>), позичку, на іншому праві користування) (</w:t>
      </w:r>
      <w:proofErr w:type="spellStart"/>
      <w:r w:rsidRPr="001E1938">
        <w:rPr>
          <w:rFonts w:ascii="Times New Roman" w:eastAsia="Times New Roman" w:hAnsi="Times New Roman" w:cs="Times New Roman"/>
          <w:sz w:val="28"/>
          <w:szCs w:val="28"/>
          <w:lang w:eastAsia="ru-RU"/>
        </w:rPr>
        <w:t>п.п</w:t>
      </w:r>
      <w:proofErr w:type="spellEnd"/>
      <w:r w:rsidRPr="001E1938">
        <w:rPr>
          <w:rFonts w:ascii="Times New Roman" w:eastAsia="Times New Roman" w:hAnsi="Times New Roman" w:cs="Times New Roman"/>
          <w:sz w:val="28"/>
          <w:szCs w:val="28"/>
          <w:lang w:eastAsia="ru-RU"/>
        </w:rPr>
        <w:t>. 4 п. 297.1 ст. 297 ПКУ).</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 xml:space="preserve">Господарська діяльність – діяльність особи, що пов’язана з виробництвом (виготовленням) та/або реалізацією товарів, виконанням робіт, наданням послуг, спрямована на отримання доходу і проводиться такою особою самостійно та/або через свої відокремлені підрозділи, а також через будь-яку </w:t>
      </w:r>
      <w:r w:rsidRPr="001E1938">
        <w:rPr>
          <w:rFonts w:ascii="Times New Roman" w:eastAsia="Times New Roman" w:hAnsi="Times New Roman" w:cs="Times New Roman"/>
          <w:sz w:val="28"/>
          <w:szCs w:val="28"/>
          <w:lang w:eastAsia="ru-RU"/>
        </w:rPr>
        <w:lastRenderedPageBreak/>
        <w:t>іншу особу, що діє на користь першої особи, зокрема, за договорами комісії, доручення та агентськими договорами (</w:t>
      </w:r>
      <w:proofErr w:type="spellStart"/>
      <w:r w:rsidRPr="001E1938">
        <w:rPr>
          <w:rFonts w:ascii="Times New Roman" w:eastAsia="Times New Roman" w:hAnsi="Times New Roman" w:cs="Times New Roman"/>
          <w:sz w:val="28"/>
          <w:szCs w:val="28"/>
          <w:lang w:eastAsia="ru-RU"/>
        </w:rPr>
        <w:t>п.п</w:t>
      </w:r>
      <w:proofErr w:type="spellEnd"/>
      <w:r w:rsidRPr="001E1938">
        <w:rPr>
          <w:rFonts w:ascii="Times New Roman" w:eastAsia="Times New Roman" w:hAnsi="Times New Roman" w:cs="Times New Roman"/>
          <w:sz w:val="28"/>
          <w:szCs w:val="28"/>
          <w:lang w:eastAsia="ru-RU"/>
        </w:rPr>
        <w:t>. 14.1.36 п. 14.1 ст. 14 ПКУ).</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Отже, у разі тимчасового припинення господарської діяльності, юридична особа – платник єдиного податку третьої групи не використовує для провадження господарської діяльності свої земельні ділянки, а тому не виконуються умови, які звільняють платника єдиного податку третьої групи від сплати земельного податку.</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Юридична особа – платник єдиного податку третьої групи – власник земельних ділянок (землекористувач на правах постійного користування земельними ділянками) у разі тимчасового припинення господарської діяльності повинна сплачувати земельний податок на загальних підставах.</w:t>
      </w:r>
    </w:p>
    <w:p w:rsidR="00297C82" w:rsidRPr="001E1938" w:rsidRDefault="00297C82" w:rsidP="001E1938">
      <w:pPr>
        <w:spacing w:after="0" w:line="240" w:lineRule="auto"/>
        <w:ind w:firstLine="567"/>
        <w:jc w:val="both"/>
        <w:rPr>
          <w:rFonts w:ascii="Times New Roman" w:eastAsia="Times New Roman" w:hAnsi="Times New Roman" w:cs="Times New Roman"/>
          <w:sz w:val="28"/>
          <w:szCs w:val="28"/>
          <w:lang w:eastAsia="ru-RU"/>
        </w:rPr>
      </w:pPr>
      <w:r w:rsidRPr="001E1938">
        <w:rPr>
          <w:rFonts w:ascii="Times New Roman" w:eastAsia="Times New Roman" w:hAnsi="Times New Roman" w:cs="Times New Roman"/>
          <w:sz w:val="28"/>
          <w:szCs w:val="28"/>
          <w:lang w:eastAsia="ru-RU"/>
        </w:rPr>
        <w:t xml:space="preserve">При цьому, відповідно до п. 69.14 </w:t>
      </w:r>
      <w:proofErr w:type="spellStart"/>
      <w:r w:rsidRPr="001E1938">
        <w:rPr>
          <w:rFonts w:ascii="Times New Roman" w:eastAsia="Times New Roman" w:hAnsi="Times New Roman" w:cs="Times New Roman"/>
          <w:sz w:val="28"/>
          <w:szCs w:val="28"/>
          <w:lang w:eastAsia="ru-RU"/>
        </w:rPr>
        <w:t>підрозд</w:t>
      </w:r>
      <w:proofErr w:type="spellEnd"/>
      <w:r w:rsidRPr="001E1938">
        <w:rPr>
          <w:rFonts w:ascii="Times New Roman" w:eastAsia="Times New Roman" w:hAnsi="Times New Roman" w:cs="Times New Roman"/>
          <w:sz w:val="28"/>
          <w:szCs w:val="28"/>
          <w:lang w:eastAsia="ru-RU"/>
        </w:rPr>
        <w:t xml:space="preserve">. 10 </w:t>
      </w:r>
      <w:proofErr w:type="spellStart"/>
      <w:r w:rsidRPr="001E1938">
        <w:rPr>
          <w:rFonts w:ascii="Times New Roman" w:eastAsia="Times New Roman" w:hAnsi="Times New Roman" w:cs="Times New Roman"/>
          <w:sz w:val="28"/>
          <w:szCs w:val="28"/>
          <w:lang w:eastAsia="ru-RU"/>
        </w:rPr>
        <w:t>розд</w:t>
      </w:r>
      <w:proofErr w:type="spellEnd"/>
      <w:r w:rsidRPr="001E1938">
        <w:rPr>
          <w:rFonts w:ascii="Times New Roman" w:eastAsia="Times New Roman" w:hAnsi="Times New Roman" w:cs="Times New Roman"/>
          <w:sz w:val="28"/>
          <w:szCs w:val="28"/>
          <w:lang w:eastAsia="ru-RU"/>
        </w:rPr>
        <w:t>. ХХ «Перехідні положення» ПКУ тимчасово на період з 01 березня 2022 року по 31 грудня року, наступного за роком в якому припинено або скасовано воєнний стан, введений Указом Президента України від 24 лютого 2022 року № 64/2022 «Про введення воєнного стану в Україні», не нараховується та не сплачується плата за землю (земельний податок та орендна плата за земельні ділянки державної та комунальної власності) за земельні ділянки (земельні частки (паї),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перебувають у власності або користуванні, у тому числі на умовах оренди, фізичних або юридичних осіб, а також земельних ділянок (земельних часток (паїв), які визначені обласними військовими адміністраціями як засмічені вибухонебезпечними предметами та/або на яких наявні фортифікаційні споруди.</w:t>
      </w:r>
    </w:p>
    <w:p w:rsidR="005271BB" w:rsidRPr="001E1938" w:rsidRDefault="00297C82" w:rsidP="001E1938">
      <w:pPr>
        <w:spacing w:after="0" w:line="240" w:lineRule="auto"/>
        <w:ind w:firstLine="567"/>
        <w:jc w:val="both"/>
        <w:rPr>
          <w:rFonts w:ascii="Times New Roman" w:eastAsia="Calibri" w:hAnsi="Times New Roman" w:cs="Times New Roman"/>
          <w:sz w:val="28"/>
          <w:szCs w:val="28"/>
        </w:rPr>
      </w:pPr>
      <w:r w:rsidRPr="001E1938">
        <w:rPr>
          <w:rFonts w:ascii="Times New Roman" w:eastAsia="Times New Roman" w:hAnsi="Times New Roman" w:cs="Times New Roman"/>
          <w:sz w:val="28"/>
          <w:szCs w:val="28"/>
          <w:lang w:eastAsia="ru-RU"/>
        </w:rPr>
        <w:t>Перелік територій, на яких ведуться (велися) бойові дії або тимчасово окупованих збройними формуваннями Російської Федерації, визначається Кабінетом Міністрів України.</w:t>
      </w:r>
    </w:p>
    <w:p w:rsidR="00DF2E5C" w:rsidRPr="00BB2B85" w:rsidRDefault="00FD3154" w:rsidP="001E1938">
      <w:pPr>
        <w:ind w:firstLine="567"/>
        <w:jc w:val="both"/>
        <w:rPr>
          <w:rFonts w:ascii="Times New Roman" w:hAnsi="Times New Roman" w:cs="Times New Roman"/>
          <w:sz w:val="28"/>
          <w:szCs w:val="28"/>
          <w:shd w:val="clear" w:color="auto" w:fill="FFFFFF"/>
        </w:rPr>
      </w:pPr>
      <w:r w:rsidRPr="00BB2B85">
        <w:rPr>
          <w:rFonts w:ascii="Times New Roman" w:hAnsi="Times New Roman" w:cs="Times New Roman"/>
          <w:sz w:val="28"/>
          <w:szCs w:val="28"/>
          <w:shd w:val="clear" w:color="auto" w:fill="FFFFFF"/>
        </w:rPr>
        <w:t>За інформацією загальнодоступного інформаційно-довідкового ресурсу.</w:t>
      </w:r>
    </w:p>
    <w:p w:rsidR="00906B56" w:rsidRPr="001E1938" w:rsidRDefault="00906B56" w:rsidP="001E1938">
      <w:pPr>
        <w:ind w:firstLine="567"/>
        <w:jc w:val="both"/>
        <w:rPr>
          <w:rFonts w:ascii="Times New Roman" w:hAnsi="Times New Roman" w:cs="Times New Roman"/>
          <w:color w:val="333333"/>
          <w:sz w:val="28"/>
          <w:szCs w:val="28"/>
          <w:shd w:val="clear" w:color="auto" w:fill="FFFFFF"/>
          <w:lang w:val="ru-RU"/>
        </w:rPr>
      </w:pPr>
    </w:p>
    <w:bookmarkEnd w:id="1"/>
    <w:p w:rsidR="00906B56" w:rsidRPr="001E1938" w:rsidRDefault="00906B56" w:rsidP="005271BB">
      <w:pPr>
        <w:jc w:val="both"/>
        <w:rPr>
          <w:rFonts w:ascii="Times New Roman" w:hAnsi="Times New Roman" w:cs="Times New Roman"/>
          <w:color w:val="333333"/>
          <w:sz w:val="28"/>
          <w:szCs w:val="28"/>
          <w:shd w:val="clear" w:color="auto" w:fill="FFFFFF"/>
          <w:lang w:val="ru-RU"/>
        </w:rPr>
      </w:pPr>
    </w:p>
    <w:p w:rsidR="00906B56" w:rsidRPr="001E1938" w:rsidRDefault="00906B56" w:rsidP="005271BB">
      <w:pPr>
        <w:jc w:val="both"/>
        <w:rPr>
          <w:rFonts w:ascii="Times New Roman" w:hAnsi="Times New Roman" w:cs="Times New Roman"/>
          <w:color w:val="333333"/>
          <w:sz w:val="28"/>
          <w:szCs w:val="28"/>
          <w:shd w:val="clear" w:color="auto" w:fill="FFFFFF"/>
          <w:lang w:val="ru-RU"/>
        </w:rPr>
      </w:pPr>
    </w:p>
    <w:p w:rsidR="00906B56" w:rsidRPr="001E1938" w:rsidRDefault="00906B56" w:rsidP="005271BB">
      <w:pPr>
        <w:jc w:val="both"/>
        <w:rPr>
          <w:rFonts w:ascii="Times New Roman" w:hAnsi="Times New Roman" w:cs="Times New Roman"/>
          <w:color w:val="333333"/>
          <w:sz w:val="28"/>
          <w:szCs w:val="28"/>
          <w:shd w:val="clear" w:color="auto" w:fill="FFFFFF"/>
          <w:lang w:val="ru-RU"/>
        </w:rPr>
      </w:pPr>
    </w:p>
    <w:p w:rsidR="00906B56" w:rsidRPr="001E1938" w:rsidRDefault="00906B56" w:rsidP="005271BB">
      <w:pPr>
        <w:jc w:val="both"/>
        <w:rPr>
          <w:rFonts w:ascii="Times New Roman" w:hAnsi="Times New Roman" w:cs="Times New Roman"/>
          <w:color w:val="333333"/>
          <w:sz w:val="28"/>
          <w:szCs w:val="28"/>
          <w:shd w:val="clear" w:color="auto" w:fill="FFFFFF"/>
          <w:lang w:val="ru-RU"/>
        </w:rPr>
      </w:pPr>
    </w:p>
    <w:p w:rsidR="00906B56" w:rsidRPr="001E1938" w:rsidRDefault="00906B56" w:rsidP="005271BB">
      <w:pPr>
        <w:jc w:val="both"/>
        <w:rPr>
          <w:rFonts w:ascii="Times New Roman" w:hAnsi="Times New Roman" w:cs="Times New Roman"/>
          <w:color w:val="333333"/>
          <w:sz w:val="28"/>
          <w:szCs w:val="28"/>
          <w:shd w:val="clear" w:color="auto" w:fill="FFFFFF"/>
          <w:lang w:val="ru-RU"/>
        </w:rPr>
      </w:pPr>
    </w:p>
    <w:p w:rsidR="00906B56" w:rsidRPr="001E1938" w:rsidRDefault="00906B56" w:rsidP="005271BB">
      <w:pPr>
        <w:jc w:val="both"/>
        <w:rPr>
          <w:rStyle w:val="z-label"/>
          <w:rFonts w:ascii="Times New Roman" w:hAnsi="Times New Roman" w:cs="Times New Roman"/>
          <w:sz w:val="28"/>
          <w:szCs w:val="28"/>
          <w:lang w:val="ru-RU"/>
        </w:rPr>
      </w:pPr>
    </w:p>
    <w:p w:rsidR="00906B56" w:rsidRPr="00906B56" w:rsidRDefault="00906B56" w:rsidP="00906B56">
      <w:pPr>
        <w:spacing w:after="0" w:line="240" w:lineRule="auto"/>
        <w:jc w:val="both"/>
        <w:rPr>
          <w:rFonts w:ascii="Times New Roman" w:eastAsia="Calibri" w:hAnsi="Times New Roman" w:cs="Times New Roman"/>
          <w:sz w:val="20"/>
          <w:szCs w:val="20"/>
        </w:rPr>
      </w:pPr>
      <w:r w:rsidRPr="00906B56">
        <w:rPr>
          <w:rFonts w:ascii="Times New Roman" w:eastAsia="Calibri" w:hAnsi="Times New Roman" w:cs="Times New Roman"/>
          <w:sz w:val="20"/>
          <w:szCs w:val="20"/>
        </w:rPr>
        <w:t xml:space="preserve">18002, м. Черкаси, вул. Хрещатик,235                                           </w:t>
      </w:r>
      <w:r w:rsidRPr="00906B56">
        <w:rPr>
          <w:rFonts w:ascii="Times New Roman" w:eastAsia="Calibri" w:hAnsi="Times New Roman" w:cs="Times New Roman"/>
          <w:sz w:val="20"/>
          <w:szCs w:val="20"/>
          <w:lang w:val="en-US"/>
        </w:rPr>
        <w:t>e</w:t>
      </w:r>
      <w:r w:rsidRPr="00906B56">
        <w:rPr>
          <w:rFonts w:ascii="Times New Roman" w:eastAsia="Calibri" w:hAnsi="Times New Roman" w:cs="Times New Roman"/>
          <w:sz w:val="20"/>
          <w:szCs w:val="20"/>
        </w:rPr>
        <w:t>-</w:t>
      </w:r>
      <w:r w:rsidRPr="00906B56">
        <w:rPr>
          <w:rFonts w:ascii="Times New Roman" w:eastAsia="Calibri" w:hAnsi="Times New Roman" w:cs="Times New Roman"/>
          <w:sz w:val="20"/>
          <w:szCs w:val="20"/>
          <w:lang w:val="en-US"/>
        </w:rPr>
        <w:t>mail</w:t>
      </w:r>
      <w:r w:rsidRPr="00906B56">
        <w:rPr>
          <w:rFonts w:ascii="Times New Roman" w:eastAsia="Calibri" w:hAnsi="Times New Roman" w:cs="Times New Roman"/>
          <w:sz w:val="20"/>
          <w:szCs w:val="20"/>
        </w:rPr>
        <w:t xml:space="preserve">: </w:t>
      </w:r>
      <w:hyperlink r:id="rId7" w:history="1">
        <w:r w:rsidRPr="00906B56">
          <w:rPr>
            <w:rFonts w:ascii="Times New Roman" w:eastAsia="Calibri" w:hAnsi="Times New Roman" w:cs="Times New Roman"/>
            <w:color w:val="0000FF"/>
            <w:sz w:val="20"/>
            <w:szCs w:val="20"/>
            <w:u w:val="single"/>
            <w:lang w:val="en-US"/>
          </w:rPr>
          <w:t>ck</w:t>
        </w:r>
        <w:r w:rsidRPr="00906B56">
          <w:rPr>
            <w:rFonts w:ascii="Times New Roman" w:eastAsia="Calibri" w:hAnsi="Times New Roman" w:cs="Times New Roman"/>
            <w:color w:val="0000FF"/>
            <w:sz w:val="20"/>
            <w:szCs w:val="20"/>
            <w:u w:val="single"/>
          </w:rPr>
          <w:t>.</w:t>
        </w:r>
        <w:r w:rsidRPr="00906B56">
          <w:rPr>
            <w:rFonts w:ascii="Times New Roman" w:eastAsia="Calibri" w:hAnsi="Times New Roman" w:cs="Times New Roman"/>
            <w:color w:val="0000FF"/>
            <w:sz w:val="20"/>
            <w:szCs w:val="20"/>
            <w:u w:val="single"/>
            <w:lang w:val="en-US"/>
          </w:rPr>
          <w:t>zmi</w:t>
        </w:r>
        <w:r w:rsidRPr="00906B56">
          <w:rPr>
            <w:rFonts w:ascii="Times New Roman" w:eastAsia="Calibri" w:hAnsi="Times New Roman" w:cs="Times New Roman"/>
            <w:color w:val="0000FF"/>
            <w:sz w:val="20"/>
            <w:szCs w:val="20"/>
            <w:u w:val="single"/>
          </w:rPr>
          <w:t>@</w:t>
        </w:r>
        <w:r w:rsidRPr="00906B56">
          <w:rPr>
            <w:rFonts w:ascii="Times New Roman" w:eastAsia="Calibri" w:hAnsi="Times New Roman" w:cs="Times New Roman"/>
            <w:color w:val="0000FF"/>
            <w:sz w:val="20"/>
            <w:szCs w:val="20"/>
            <w:u w:val="single"/>
            <w:lang w:val="en-US"/>
          </w:rPr>
          <w:t>tax</w:t>
        </w:r>
        <w:r w:rsidRPr="00906B56">
          <w:rPr>
            <w:rFonts w:ascii="Times New Roman" w:eastAsia="Calibri" w:hAnsi="Times New Roman" w:cs="Times New Roman"/>
            <w:color w:val="0000FF"/>
            <w:sz w:val="20"/>
            <w:szCs w:val="20"/>
            <w:u w:val="single"/>
          </w:rPr>
          <w:t>.</w:t>
        </w:r>
        <w:r w:rsidRPr="00906B56">
          <w:rPr>
            <w:rFonts w:ascii="Times New Roman" w:eastAsia="Calibri" w:hAnsi="Times New Roman" w:cs="Times New Roman"/>
            <w:color w:val="0000FF"/>
            <w:sz w:val="20"/>
            <w:szCs w:val="20"/>
            <w:u w:val="single"/>
            <w:lang w:val="en-US"/>
          </w:rPr>
          <w:t>gov</w:t>
        </w:r>
        <w:r w:rsidRPr="00906B56">
          <w:rPr>
            <w:rFonts w:ascii="Times New Roman" w:eastAsia="Calibri" w:hAnsi="Times New Roman" w:cs="Times New Roman"/>
            <w:color w:val="0000FF"/>
            <w:sz w:val="20"/>
            <w:szCs w:val="20"/>
            <w:u w:val="single"/>
          </w:rPr>
          <w:t>.</w:t>
        </w:r>
        <w:r w:rsidRPr="00906B56">
          <w:rPr>
            <w:rFonts w:ascii="Times New Roman" w:eastAsia="Calibri" w:hAnsi="Times New Roman" w:cs="Times New Roman"/>
            <w:color w:val="0000FF"/>
            <w:sz w:val="20"/>
            <w:szCs w:val="20"/>
            <w:u w:val="single"/>
            <w:lang w:val="en-US"/>
          </w:rPr>
          <w:t>ua</w:t>
        </w:r>
      </w:hyperlink>
    </w:p>
    <w:p w:rsidR="00906B56" w:rsidRPr="00906B56" w:rsidRDefault="00906B56" w:rsidP="00906B56">
      <w:pPr>
        <w:spacing w:after="0" w:line="240" w:lineRule="auto"/>
        <w:jc w:val="both"/>
        <w:rPr>
          <w:rFonts w:ascii="Times New Roman" w:eastAsia="Times New Roman" w:hAnsi="Times New Roman" w:cs="Times New Roman"/>
          <w:sz w:val="24"/>
          <w:szCs w:val="24"/>
          <w:lang w:val="ru-RU" w:eastAsia="ru-RU"/>
        </w:rPr>
      </w:pPr>
      <w:r w:rsidRPr="00906B56">
        <w:rPr>
          <w:rFonts w:ascii="Times New Roman" w:eastAsia="Calibri" w:hAnsi="Times New Roman" w:cs="Times New Roman"/>
          <w:sz w:val="20"/>
          <w:szCs w:val="20"/>
          <w:lang w:val="ru-RU"/>
        </w:rPr>
        <w:t xml:space="preserve">тел.(0472) 33-91-34                                                                           </w:t>
      </w:r>
      <w:hyperlink r:id="rId8" w:history="1">
        <w:r w:rsidRPr="00906B56">
          <w:rPr>
            <w:rFonts w:ascii="Times New Roman" w:eastAsia="Calibri" w:hAnsi="Times New Roman" w:cs="Times New Roman"/>
            <w:color w:val="0000FF"/>
            <w:sz w:val="20"/>
            <w:szCs w:val="20"/>
            <w:u w:val="single"/>
            <w:lang w:val="ru-RU"/>
          </w:rPr>
          <w:t>https://ck.tax.gov.ua/</w:t>
        </w:r>
      </w:hyperlink>
    </w:p>
    <w:p w:rsidR="00C308C1" w:rsidRPr="00906B56" w:rsidRDefault="00C308C1" w:rsidP="00115F48">
      <w:pPr>
        <w:tabs>
          <w:tab w:val="num" w:pos="567"/>
        </w:tabs>
        <w:spacing w:after="0" w:line="240" w:lineRule="auto"/>
        <w:jc w:val="both"/>
        <w:rPr>
          <w:rFonts w:ascii="Times New Roman" w:hAnsi="Times New Roman" w:cs="Times New Roman"/>
          <w:sz w:val="28"/>
          <w:szCs w:val="28"/>
          <w:lang w:val="ru-RU"/>
        </w:rPr>
      </w:pPr>
    </w:p>
    <w:sectPr w:rsidR="00C308C1" w:rsidRPr="00906B5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0101F6"/>
    <w:rsid w:val="00046911"/>
    <w:rsid w:val="0011525A"/>
    <w:rsid w:val="00115F48"/>
    <w:rsid w:val="001771DE"/>
    <w:rsid w:val="001A6E97"/>
    <w:rsid w:val="001E1938"/>
    <w:rsid w:val="0020709D"/>
    <w:rsid w:val="00297C82"/>
    <w:rsid w:val="002F23AC"/>
    <w:rsid w:val="00375271"/>
    <w:rsid w:val="00386D19"/>
    <w:rsid w:val="003B76FE"/>
    <w:rsid w:val="00474290"/>
    <w:rsid w:val="004C7B21"/>
    <w:rsid w:val="005271BB"/>
    <w:rsid w:val="006616E6"/>
    <w:rsid w:val="006D3EC1"/>
    <w:rsid w:val="006D5217"/>
    <w:rsid w:val="0071318A"/>
    <w:rsid w:val="007168E0"/>
    <w:rsid w:val="00740BEC"/>
    <w:rsid w:val="00745485"/>
    <w:rsid w:val="00751911"/>
    <w:rsid w:val="00761047"/>
    <w:rsid w:val="00771293"/>
    <w:rsid w:val="00774345"/>
    <w:rsid w:val="00827BA2"/>
    <w:rsid w:val="0083662B"/>
    <w:rsid w:val="00845F71"/>
    <w:rsid w:val="008C17D8"/>
    <w:rsid w:val="008D56AD"/>
    <w:rsid w:val="00904471"/>
    <w:rsid w:val="00906B56"/>
    <w:rsid w:val="00955D12"/>
    <w:rsid w:val="00984730"/>
    <w:rsid w:val="009B2108"/>
    <w:rsid w:val="00A430F8"/>
    <w:rsid w:val="00AB2CB4"/>
    <w:rsid w:val="00B26B21"/>
    <w:rsid w:val="00B3509A"/>
    <w:rsid w:val="00B45B98"/>
    <w:rsid w:val="00B71448"/>
    <w:rsid w:val="00B77E76"/>
    <w:rsid w:val="00BB2B85"/>
    <w:rsid w:val="00BE6AD6"/>
    <w:rsid w:val="00C007CA"/>
    <w:rsid w:val="00C24478"/>
    <w:rsid w:val="00C308C1"/>
    <w:rsid w:val="00CF6B18"/>
    <w:rsid w:val="00D10D65"/>
    <w:rsid w:val="00D16E74"/>
    <w:rsid w:val="00D27CE0"/>
    <w:rsid w:val="00D34084"/>
    <w:rsid w:val="00D3693C"/>
    <w:rsid w:val="00D510A7"/>
    <w:rsid w:val="00D841F9"/>
    <w:rsid w:val="00D92C16"/>
    <w:rsid w:val="00DA57A5"/>
    <w:rsid w:val="00DE77BB"/>
    <w:rsid w:val="00DF2E5C"/>
    <w:rsid w:val="00E208DE"/>
    <w:rsid w:val="00E45F43"/>
    <w:rsid w:val="00E8091D"/>
    <w:rsid w:val="00E815C8"/>
    <w:rsid w:val="00E87C73"/>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84961">
      <w:bodyDiv w:val="1"/>
      <w:marLeft w:val="0"/>
      <w:marRight w:val="0"/>
      <w:marTop w:val="0"/>
      <w:marBottom w:val="0"/>
      <w:divBdr>
        <w:top w:val="none" w:sz="0" w:space="0" w:color="auto"/>
        <w:left w:val="none" w:sz="0" w:space="0" w:color="auto"/>
        <w:bottom w:val="none" w:sz="0" w:space="0" w:color="auto"/>
        <w:right w:val="none" w:sz="0" w:space="0" w:color="auto"/>
      </w:divBdr>
    </w:div>
    <w:div w:id="62993980">
      <w:bodyDiv w:val="1"/>
      <w:marLeft w:val="0"/>
      <w:marRight w:val="0"/>
      <w:marTop w:val="0"/>
      <w:marBottom w:val="0"/>
      <w:divBdr>
        <w:top w:val="none" w:sz="0" w:space="0" w:color="auto"/>
        <w:left w:val="none" w:sz="0" w:space="0" w:color="auto"/>
        <w:bottom w:val="none" w:sz="0" w:space="0" w:color="auto"/>
        <w:right w:val="none" w:sz="0" w:space="0" w:color="auto"/>
      </w:divBdr>
    </w:div>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 w:id="16874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2</Pages>
  <Words>3068</Words>
  <Characters>1749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79</cp:revision>
  <cp:lastPrinted>2022-09-21T06:50:00Z</cp:lastPrinted>
  <dcterms:created xsi:type="dcterms:W3CDTF">2021-09-06T11:50:00Z</dcterms:created>
  <dcterms:modified xsi:type="dcterms:W3CDTF">2022-09-26T05:39:00Z</dcterms:modified>
</cp:coreProperties>
</file>